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37A36" w14:textId="59E4073A" w:rsidR="00E94558" w:rsidRPr="00145D14" w:rsidRDefault="00C7701B" w:rsidP="00003E5A">
      <w:pPr>
        <w:spacing w:after="120" w:line="240" w:lineRule="auto"/>
        <w:rPr>
          <w:rFonts w:cstheme="minorHAnsi"/>
          <w:b/>
          <w:color w:val="000000" w:themeColor="text1"/>
          <w:sz w:val="24"/>
          <w:szCs w:val="24"/>
        </w:rPr>
      </w:pPr>
      <w:r w:rsidRPr="00145D14">
        <w:rPr>
          <w:rFonts w:cstheme="minorHAnsi"/>
          <w:b/>
          <w:noProof/>
          <w:color w:val="0047BA"/>
          <w:sz w:val="24"/>
          <w:szCs w:val="24"/>
        </w:rPr>
        <mc:AlternateContent>
          <mc:Choice Requires="wps">
            <w:drawing>
              <wp:anchor distT="0" distB="0" distL="114300" distR="114300" simplePos="0" relativeHeight="251658752" behindDoc="1" locked="0" layoutInCell="1" allowOverlap="1" wp14:anchorId="7FEEF754" wp14:editId="01A379EE">
                <wp:simplePos x="0" y="0"/>
                <wp:positionH relativeFrom="column">
                  <wp:posOffset>3360420</wp:posOffset>
                </wp:positionH>
                <wp:positionV relativeFrom="paragraph">
                  <wp:posOffset>967740</wp:posOffset>
                </wp:positionV>
                <wp:extent cx="2583180" cy="777240"/>
                <wp:effectExtent l="0" t="0" r="7620" b="3810"/>
                <wp:wrapTight wrapText="bothSides">
                  <wp:wrapPolygon edited="0">
                    <wp:start x="0" y="0"/>
                    <wp:lineTo x="0" y="21176"/>
                    <wp:lineTo x="21504" y="21176"/>
                    <wp:lineTo x="21504"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777240"/>
                        </a:xfrm>
                        <a:prstGeom prst="rect">
                          <a:avLst/>
                        </a:prstGeom>
                        <a:solidFill>
                          <a:srgbClr val="FFFFFF"/>
                        </a:solidFill>
                        <a:ln w="9525">
                          <a:noFill/>
                          <a:miter lim="800000"/>
                          <a:headEnd/>
                          <a:tailEnd/>
                        </a:ln>
                      </wps:spPr>
                      <wps:txbx>
                        <w:txbxContent>
                          <w:p w14:paraId="5B0C0FA0" w14:textId="1C5ACE6A" w:rsidR="009B7B3F" w:rsidRPr="00E94558" w:rsidRDefault="00E94558" w:rsidP="00E94558">
                            <w:pPr>
                              <w:spacing w:after="0" w:line="240" w:lineRule="auto"/>
                              <w:jc w:val="right"/>
                              <w:rPr>
                                <w:b/>
                                <w:sz w:val="24"/>
                                <w:szCs w:val="24"/>
                              </w:rPr>
                            </w:pPr>
                            <w:r w:rsidRPr="00E94558">
                              <w:rPr>
                                <w:b/>
                                <w:sz w:val="24"/>
                                <w:szCs w:val="24"/>
                              </w:rPr>
                              <w:t>MEDIA CONTACT</w:t>
                            </w:r>
                          </w:p>
                          <w:p w14:paraId="3D9C2C8C" w14:textId="6B1A88A4" w:rsidR="00E94558" w:rsidRPr="002E233F" w:rsidRDefault="002E233F" w:rsidP="00E94558">
                            <w:pPr>
                              <w:spacing w:after="0" w:line="240" w:lineRule="auto"/>
                              <w:jc w:val="right"/>
                            </w:pPr>
                            <w:r w:rsidRPr="002E233F">
                              <w:t>Joanna Quintanilla</w:t>
                            </w:r>
                          </w:p>
                          <w:p w14:paraId="2CA3F2FA" w14:textId="3B53ABDD" w:rsidR="00C6687E" w:rsidRDefault="002E233F" w:rsidP="00E94558">
                            <w:pPr>
                              <w:spacing w:after="0" w:line="240" w:lineRule="auto"/>
                              <w:jc w:val="right"/>
                            </w:pPr>
                            <w:hyperlink r:id="rId6" w:history="1">
                              <w:r w:rsidRPr="009257EF">
                                <w:rPr>
                                  <w:rStyle w:val="Hyperlink"/>
                                </w:rPr>
                                <w:t>jquintanilla@swri.org</w:t>
                              </w:r>
                            </w:hyperlink>
                          </w:p>
                          <w:p w14:paraId="75448F04" w14:textId="7B534AF3" w:rsidR="009B7B3F" w:rsidRPr="002E233F" w:rsidRDefault="00C6687E" w:rsidP="00E94558">
                            <w:pPr>
                              <w:spacing w:after="0" w:line="240" w:lineRule="auto"/>
                              <w:jc w:val="right"/>
                            </w:pPr>
                            <w:r w:rsidRPr="002E233F">
                              <w:t>210-522-</w:t>
                            </w:r>
                            <w:r w:rsidR="00F20286" w:rsidRPr="002E233F">
                              <w:t>2</w:t>
                            </w:r>
                            <w:r w:rsidR="002E233F" w:rsidRPr="002E233F">
                              <w:t>073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EEF754" id="_x0000_t202" coordsize="21600,21600" o:spt="202" path="m,l,21600r21600,l21600,xe">
                <v:stroke joinstyle="miter"/>
                <v:path gradientshapeok="t" o:connecttype="rect"/>
              </v:shapetype>
              <v:shape id="Text Box 2" o:spid="_x0000_s1026" type="#_x0000_t202" style="position:absolute;margin-left:264.6pt;margin-top:76.2pt;width:203.4pt;height:6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" stroked="f">
                <v:textbox>
                  <w:txbxContent>
                    <w:p w14:paraId="5B0C0FA0" w14:textId="1C5ACE6A" w:rsidR="009B7B3F" w:rsidRPr="00E94558" w:rsidRDefault="00E94558" w:rsidP="00E94558">
                      <w:pPr>
                        <w:spacing w:after="0" w:line="240" w:lineRule="auto"/>
                        <w:jc w:val="right"/>
                        <w:rPr>
                          <w:b/>
                          <w:sz w:val="24"/>
                          <w:szCs w:val="24"/>
                        </w:rPr>
                      </w:pPr>
                      <w:r w:rsidRPr="00E94558">
                        <w:rPr>
                          <w:b/>
                          <w:sz w:val="24"/>
                          <w:szCs w:val="24"/>
                        </w:rPr>
                        <w:t>MEDIA CONTACT</w:t>
                      </w:r>
                    </w:p>
                    <w:p w14:paraId="3D9C2C8C" w14:textId="6B1A88A4" w:rsidR="00E94558" w:rsidRPr="002E233F" w:rsidRDefault="002E233F" w:rsidP="00E94558">
                      <w:pPr>
                        <w:spacing w:after="0" w:line="240" w:lineRule="auto"/>
                        <w:jc w:val="right"/>
                      </w:pPr>
                      <w:r w:rsidRPr="002E233F">
                        <w:t>Joanna Quintanilla</w:t>
                      </w:r>
                    </w:p>
                    <w:p w14:paraId="2CA3F2FA" w14:textId="3B53ABDD" w:rsidR="00C6687E" w:rsidRDefault="002E233F" w:rsidP="00E94558">
                      <w:pPr>
                        <w:spacing w:after="0" w:line="240" w:lineRule="auto"/>
                        <w:jc w:val="right"/>
                      </w:pPr>
                      <w:hyperlink r:id="rId7" w:history="1">
                        <w:r w:rsidRPr="009257EF">
                          <w:rPr>
                            <w:rStyle w:val="Hyperlink"/>
                          </w:rPr>
                          <w:t>jquintanilla@swri.org</w:t>
                        </w:r>
                      </w:hyperlink>
                    </w:p>
                    <w:p w14:paraId="75448F04" w14:textId="7B534AF3" w:rsidR="009B7B3F" w:rsidRPr="002E233F" w:rsidRDefault="00C6687E" w:rsidP="00E94558">
                      <w:pPr>
                        <w:spacing w:after="0" w:line="240" w:lineRule="auto"/>
                        <w:jc w:val="right"/>
                      </w:pPr>
                      <w:r w:rsidRPr="002E233F">
                        <w:t>210-522-</w:t>
                      </w:r>
                      <w:r w:rsidR="00F20286" w:rsidRPr="002E233F">
                        <w:t>2</w:t>
                      </w:r>
                      <w:r w:rsidR="002E233F" w:rsidRPr="002E233F">
                        <w:t>073</w:t>
                      </w:r>
                    </w:p>
                  </w:txbxContent>
                </v:textbox>
                <w10:wrap type="tight"/>
              </v:shape>
            </w:pict>
          </mc:Fallback>
        </mc:AlternateContent>
      </w:r>
      <w:r w:rsidR="00F74819" w:rsidRPr="00145D14">
        <w:rPr>
          <w:rFonts w:cstheme="minorHAnsi"/>
          <w:noProof/>
          <w:sz w:val="24"/>
          <w:szCs w:val="24"/>
        </w:rPr>
        <w:drawing>
          <wp:inline distT="0" distB="0" distL="0" distR="0" wp14:anchorId="61A2135D" wp14:editId="23723E9D">
            <wp:extent cx="5943600" cy="9296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929640"/>
                    </a:xfrm>
                    <a:prstGeom prst="rect">
                      <a:avLst/>
                    </a:prstGeom>
                    <a:noFill/>
                    <a:ln>
                      <a:noFill/>
                    </a:ln>
                  </pic:spPr>
                </pic:pic>
              </a:graphicData>
            </a:graphic>
          </wp:inline>
        </w:drawing>
      </w:r>
    </w:p>
    <w:p w14:paraId="03E9DC28" w14:textId="2F0E7D27" w:rsidR="009B7B3F" w:rsidRPr="00145D14" w:rsidRDefault="00E94558" w:rsidP="00003E5A">
      <w:pPr>
        <w:spacing w:after="120" w:line="240" w:lineRule="auto"/>
        <w:rPr>
          <w:rFonts w:cstheme="minorHAnsi"/>
          <w:b/>
          <w:sz w:val="24"/>
          <w:szCs w:val="24"/>
        </w:rPr>
      </w:pPr>
      <w:r w:rsidRPr="00145D14">
        <w:rPr>
          <w:rFonts w:cstheme="minorHAnsi"/>
          <w:b/>
          <w:color w:val="000000" w:themeColor="text1"/>
          <w:sz w:val="24"/>
          <w:szCs w:val="24"/>
        </w:rPr>
        <w:t>PRESS RELEASE</w:t>
      </w:r>
      <w:r w:rsidR="009B7B3F" w:rsidRPr="00145D14">
        <w:rPr>
          <w:rFonts w:cstheme="minorHAnsi"/>
          <w:b/>
          <w:sz w:val="24"/>
          <w:szCs w:val="24"/>
        </w:rPr>
        <w:tab/>
      </w:r>
      <w:r w:rsidR="009B7B3F" w:rsidRPr="00145D14">
        <w:rPr>
          <w:rFonts w:cstheme="minorHAnsi"/>
          <w:b/>
          <w:sz w:val="24"/>
          <w:szCs w:val="24"/>
        </w:rPr>
        <w:tab/>
      </w:r>
      <w:r w:rsidR="009B7B3F" w:rsidRPr="00145D14">
        <w:rPr>
          <w:rFonts w:cstheme="minorHAnsi"/>
          <w:b/>
          <w:sz w:val="24"/>
          <w:szCs w:val="24"/>
        </w:rPr>
        <w:tab/>
      </w:r>
      <w:r w:rsidR="009B7B3F" w:rsidRPr="00145D14">
        <w:rPr>
          <w:rFonts w:cstheme="minorHAnsi"/>
          <w:b/>
          <w:sz w:val="24"/>
          <w:szCs w:val="24"/>
        </w:rPr>
        <w:tab/>
      </w:r>
      <w:r w:rsidR="009B7B3F" w:rsidRPr="00145D14">
        <w:rPr>
          <w:rFonts w:cstheme="minorHAnsi"/>
          <w:b/>
          <w:sz w:val="24"/>
          <w:szCs w:val="24"/>
        </w:rPr>
        <w:tab/>
      </w:r>
      <w:r w:rsidR="009B7B3F" w:rsidRPr="00145D14">
        <w:rPr>
          <w:rFonts w:cstheme="minorHAnsi"/>
          <w:b/>
          <w:sz w:val="24"/>
          <w:szCs w:val="24"/>
        </w:rPr>
        <w:tab/>
      </w:r>
      <w:r w:rsidR="009B7B3F" w:rsidRPr="00145D14">
        <w:rPr>
          <w:rFonts w:cstheme="minorHAnsi"/>
          <w:b/>
          <w:sz w:val="24"/>
          <w:szCs w:val="24"/>
        </w:rPr>
        <w:tab/>
      </w:r>
      <w:r w:rsidR="009B7B3F" w:rsidRPr="00145D14">
        <w:rPr>
          <w:rFonts w:cstheme="minorHAnsi"/>
          <w:b/>
          <w:sz w:val="24"/>
          <w:szCs w:val="24"/>
        </w:rPr>
        <w:tab/>
      </w:r>
      <w:r w:rsidR="009B7B3F" w:rsidRPr="00145D14">
        <w:rPr>
          <w:rFonts w:cstheme="minorHAnsi"/>
          <w:b/>
          <w:sz w:val="24"/>
          <w:szCs w:val="24"/>
        </w:rPr>
        <w:tab/>
      </w:r>
    </w:p>
    <w:p w14:paraId="1B0FF5E3" w14:textId="0E471FE8" w:rsidR="00C539AC" w:rsidRPr="00145D14" w:rsidRDefault="00C539AC" w:rsidP="00C539AC">
      <w:pPr>
        <w:spacing w:after="0" w:line="240" w:lineRule="auto"/>
        <w:rPr>
          <w:rFonts w:cstheme="minorHAnsi"/>
          <w:i/>
          <w:iCs/>
          <w:sz w:val="24"/>
          <w:szCs w:val="24"/>
        </w:rPr>
      </w:pPr>
    </w:p>
    <w:p w14:paraId="39B57876" w14:textId="77777777" w:rsidR="00195867" w:rsidRPr="00145D14" w:rsidRDefault="00195867" w:rsidP="00195867">
      <w:pPr>
        <w:spacing w:after="0" w:line="240" w:lineRule="auto"/>
        <w:jc w:val="right"/>
        <w:rPr>
          <w:rFonts w:cstheme="minorHAnsi"/>
          <w:i/>
          <w:iCs/>
          <w:sz w:val="24"/>
          <w:szCs w:val="24"/>
        </w:rPr>
      </w:pPr>
    </w:p>
    <w:p w14:paraId="7E44A2B3" w14:textId="32F50B08" w:rsidR="00195867" w:rsidRPr="00145D14" w:rsidRDefault="00145D14" w:rsidP="00145D14">
      <w:pPr>
        <w:spacing w:after="0" w:line="240" w:lineRule="auto"/>
        <w:jc w:val="center"/>
        <w:rPr>
          <w:rFonts w:cstheme="minorHAnsi"/>
          <w:i/>
          <w:iCs/>
          <w:sz w:val="24"/>
          <w:szCs w:val="24"/>
        </w:rPr>
      </w:pPr>
      <w:r w:rsidRPr="00145D14">
        <w:rPr>
          <w:rFonts w:cstheme="minorHAnsi"/>
          <w:i/>
          <w:iCs/>
          <w:sz w:val="24"/>
          <w:szCs w:val="24"/>
        </w:rPr>
        <w:t xml:space="preserve">              </w:t>
      </w:r>
      <w:r w:rsidR="002E233F">
        <w:rPr>
          <w:rFonts w:cstheme="minorHAnsi"/>
          <w:i/>
          <w:iCs/>
          <w:sz w:val="24"/>
          <w:szCs w:val="24"/>
        </w:rPr>
        <w:t xml:space="preserve">                                       </w:t>
      </w:r>
      <w:r w:rsidRPr="00145D14">
        <w:rPr>
          <w:rFonts w:cstheme="minorHAnsi"/>
          <w:i/>
          <w:iCs/>
          <w:sz w:val="24"/>
          <w:szCs w:val="24"/>
        </w:rPr>
        <w:t xml:space="preserve">           </w:t>
      </w:r>
      <w:r w:rsidR="00195867" w:rsidRPr="00145D14">
        <w:rPr>
          <w:rFonts w:cstheme="minorHAnsi"/>
          <w:i/>
          <w:iCs/>
          <w:sz w:val="24"/>
          <w:szCs w:val="24"/>
        </w:rPr>
        <w:t xml:space="preserve">Visit Southwest Research Institute at </w:t>
      </w:r>
      <w:r w:rsidRPr="00145D14">
        <w:rPr>
          <w:rFonts w:cstheme="minorHAnsi"/>
          <w:i/>
          <w:iCs/>
          <w:sz w:val="24"/>
          <w:szCs w:val="24"/>
        </w:rPr>
        <w:t xml:space="preserve">the </w:t>
      </w:r>
      <w:r w:rsidR="002E233F">
        <w:rPr>
          <w:rFonts w:cstheme="minorHAnsi"/>
          <w:i/>
          <w:iCs/>
          <w:sz w:val="24"/>
          <w:szCs w:val="24"/>
        </w:rPr>
        <w:t>IT2EC, Booth B92</w:t>
      </w:r>
    </w:p>
    <w:p w14:paraId="599FC672" w14:textId="77777777" w:rsidR="00C539AC" w:rsidRPr="00145D14" w:rsidRDefault="00C539AC" w:rsidP="00C539AC">
      <w:pPr>
        <w:spacing w:after="0" w:line="240" w:lineRule="auto"/>
        <w:jc w:val="center"/>
        <w:rPr>
          <w:rFonts w:cstheme="minorHAnsi"/>
          <w:i/>
          <w:iCs/>
          <w:sz w:val="24"/>
          <w:szCs w:val="24"/>
        </w:rPr>
      </w:pPr>
    </w:p>
    <w:p w14:paraId="24702958" w14:textId="5F88D4E9" w:rsidR="00B2045E" w:rsidRDefault="00145D14" w:rsidP="002E233F">
      <w:pPr>
        <w:spacing w:line="240" w:lineRule="auto"/>
        <w:rPr>
          <w:rFonts w:eastAsia="Cambria" w:cstheme="minorHAnsi"/>
          <w:sz w:val="24"/>
          <w:szCs w:val="24"/>
        </w:rPr>
      </w:pPr>
      <w:r w:rsidRPr="00145D14">
        <w:rPr>
          <w:rFonts w:cstheme="minorHAnsi"/>
          <w:sz w:val="24"/>
          <w:szCs w:val="24"/>
        </w:rPr>
        <w:br/>
      </w:r>
      <w:r w:rsidR="002E233F" w:rsidRPr="002E233F">
        <w:rPr>
          <w:rFonts w:ascii="Calibri" w:eastAsia="Cambria" w:hAnsi="Calibri" w:cs="Calibri"/>
          <w:b/>
          <w:bCs/>
          <w:sz w:val="24"/>
          <w:szCs w:val="24"/>
        </w:rPr>
        <w:t xml:space="preserve">SwRI uses ENABLE tool to assess injury risk in soldiers </w:t>
      </w:r>
      <w:r w:rsidR="00B2045E">
        <w:rPr>
          <w:rFonts w:ascii="Calibri" w:eastAsia="Cambria" w:hAnsi="Calibri" w:cs="Calibri"/>
          <w:b/>
          <w:bCs/>
          <w:sz w:val="24"/>
          <w:szCs w:val="24"/>
        </w:rPr>
        <w:br/>
      </w:r>
      <w:r w:rsidR="00B2045E">
        <w:rPr>
          <w:rFonts w:ascii="Calibri" w:eastAsia="Cambria" w:hAnsi="Calibri" w:cs="Calibri"/>
          <w:b/>
          <w:bCs/>
          <w:sz w:val="24"/>
          <w:szCs w:val="24"/>
        </w:rPr>
        <w:br/>
      </w:r>
      <w:r w:rsidR="002E233F" w:rsidRPr="002E233F">
        <w:rPr>
          <w:rFonts w:cstheme="minorHAnsi"/>
          <w:color w:val="000000"/>
          <w:sz w:val="24"/>
          <w:szCs w:val="24"/>
          <w:lang w:val="da-DK"/>
        </w:rPr>
        <w:t>SAN ANTONIO</w:t>
      </w:r>
      <w:r w:rsidR="00B2045E">
        <w:rPr>
          <w:rFonts w:cstheme="minorHAnsi"/>
          <w:color w:val="000000"/>
          <w:sz w:val="24"/>
          <w:szCs w:val="24"/>
          <w:lang w:val="da-DK"/>
        </w:rPr>
        <w:t xml:space="preserve"> </w:t>
      </w:r>
      <w:r w:rsidR="002E233F" w:rsidRPr="002E233F">
        <w:rPr>
          <w:rFonts w:cstheme="minorHAnsi"/>
          <w:color w:val="000000"/>
          <w:sz w:val="24"/>
          <w:szCs w:val="24"/>
          <w:lang w:val="da-DK"/>
        </w:rPr>
        <w:t>—</w:t>
      </w:r>
      <w:r w:rsidR="00B2045E">
        <w:rPr>
          <w:rFonts w:cstheme="minorHAnsi"/>
          <w:color w:val="000000"/>
          <w:sz w:val="24"/>
          <w:szCs w:val="24"/>
          <w:lang w:val="da-DK"/>
        </w:rPr>
        <w:t xml:space="preserve"> </w:t>
      </w:r>
      <w:r w:rsidR="002E233F" w:rsidRPr="002E233F">
        <w:rPr>
          <w:rFonts w:eastAsia="Cambria" w:cstheme="minorHAnsi"/>
          <w:sz w:val="24"/>
          <w:szCs w:val="24"/>
        </w:rPr>
        <w:t xml:space="preserve">Southwest Research Institute (SwRI) is using </w:t>
      </w:r>
      <w:proofErr w:type="spellStart"/>
      <w:r w:rsidR="002E233F" w:rsidRPr="002E233F">
        <w:rPr>
          <w:rFonts w:eastAsia="Cambria" w:cstheme="minorHAnsi"/>
          <w:sz w:val="24"/>
          <w:szCs w:val="24"/>
        </w:rPr>
        <w:t>markerless</w:t>
      </w:r>
      <w:proofErr w:type="spellEnd"/>
      <w:r w:rsidR="002E233F" w:rsidRPr="002E233F">
        <w:rPr>
          <w:rFonts w:eastAsia="Cambria" w:cstheme="minorHAnsi"/>
          <w:sz w:val="24"/>
          <w:szCs w:val="24"/>
        </w:rPr>
        <w:t xml:space="preserve"> motion capture to identify musculoskeletal injury risks in military service members during specialized training. A study published in the journal Frontiers in Bioengineering and Biotechnology describes how the SwRI-developed Engine for Automatic Biomechanical Evaluation (ENABLE™) analysis tool can help identify individuals at risk for noncombat injuries before they occur.</w:t>
      </w:r>
      <w:r w:rsidR="00B2045E">
        <w:rPr>
          <w:rFonts w:ascii="Calibri" w:eastAsia="Cambria" w:hAnsi="Calibri" w:cs="Calibri"/>
          <w:b/>
          <w:bCs/>
          <w:sz w:val="24"/>
          <w:szCs w:val="24"/>
        </w:rPr>
        <w:br/>
      </w:r>
      <w:r w:rsidR="00B2045E">
        <w:rPr>
          <w:rFonts w:ascii="Calibri" w:eastAsia="Cambria" w:hAnsi="Calibri" w:cs="Calibri"/>
          <w:b/>
          <w:bCs/>
          <w:sz w:val="24"/>
          <w:szCs w:val="24"/>
        </w:rPr>
        <w:br/>
      </w:r>
      <w:r w:rsidR="002E233F" w:rsidRPr="002E233F">
        <w:rPr>
          <w:rFonts w:eastAsia="Cambria" w:cstheme="minorHAnsi"/>
          <w:sz w:val="24"/>
          <w:szCs w:val="24"/>
        </w:rPr>
        <w:t xml:space="preserve">“Noncombat musculoskeletal injuries during military training cost the U.S. military more than $3.7 billion annually,” said SwRI Senior Research Engineer Dr. Lance Frazer, the study’s lead author. “Biomechanical analyses — used in a range of applications — typically require specialized equipment and laboratory spaces. Getting out into the field where activities are occurring is crucial. The ability to use </w:t>
      </w:r>
      <w:proofErr w:type="spellStart"/>
      <w:r w:rsidR="002E233F" w:rsidRPr="002E233F">
        <w:rPr>
          <w:rFonts w:eastAsia="Cambria" w:cstheme="minorHAnsi"/>
          <w:sz w:val="24"/>
          <w:szCs w:val="24"/>
        </w:rPr>
        <w:t>markerless</w:t>
      </w:r>
      <w:proofErr w:type="spellEnd"/>
      <w:r w:rsidR="002E233F" w:rsidRPr="002E233F">
        <w:rPr>
          <w:rFonts w:eastAsia="Cambria" w:cstheme="minorHAnsi"/>
          <w:sz w:val="24"/>
          <w:szCs w:val="24"/>
        </w:rPr>
        <w:t xml:space="preserve"> motion capture technology is like the difference between having a landline and a cell phone.”</w:t>
      </w:r>
      <w:r w:rsidR="00B2045E">
        <w:rPr>
          <w:rFonts w:ascii="Calibri" w:eastAsia="Cambria" w:hAnsi="Calibri" w:cs="Calibri"/>
          <w:b/>
          <w:bCs/>
          <w:sz w:val="24"/>
          <w:szCs w:val="24"/>
        </w:rPr>
        <w:br/>
      </w:r>
      <w:r w:rsidR="00B2045E">
        <w:rPr>
          <w:rFonts w:ascii="Calibri" w:eastAsia="Cambria" w:hAnsi="Calibri" w:cs="Calibri"/>
          <w:b/>
          <w:bCs/>
          <w:sz w:val="24"/>
          <w:szCs w:val="24"/>
        </w:rPr>
        <w:br/>
      </w:r>
      <w:proofErr w:type="spellStart"/>
      <w:r w:rsidR="002E233F" w:rsidRPr="002E233F">
        <w:rPr>
          <w:rFonts w:eastAsia="Cambria" w:cstheme="minorHAnsi"/>
          <w:sz w:val="24"/>
          <w:szCs w:val="24"/>
        </w:rPr>
        <w:t>Markerless</w:t>
      </w:r>
      <w:proofErr w:type="spellEnd"/>
      <w:r w:rsidR="002E233F" w:rsidRPr="002E233F">
        <w:rPr>
          <w:rFonts w:eastAsia="Cambria" w:cstheme="minorHAnsi"/>
          <w:sz w:val="24"/>
          <w:szCs w:val="24"/>
        </w:rPr>
        <w:t xml:space="preserve"> motion capture leverages computer vision algorithms to capture 3D motion data for biomechanical analysis in research, clinical and sport science applications — without the need to attach physical body markers to human subjects. ENABLE combines SwRI’s biomechanical modeling expertise with computer vision and deep learning to develop powerful algorithms that enable accurate, reliable </w:t>
      </w:r>
      <w:proofErr w:type="spellStart"/>
      <w:r w:rsidR="002E233F" w:rsidRPr="002E233F">
        <w:rPr>
          <w:rFonts w:eastAsia="Cambria" w:cstheme="minorHAnsi"/>
          <w:sz w:val="24"/>
          <w:szCs w:val="24"/>
        </w:rPr>
        <w:t>markerless</w:t>
      </w:r>
      <w:proofErr w:type="spellEnd"/>
      <w:r w:rsidR="002E233F" w:rsidRPr="002E233F">
        <w:rPr>
          <w:rFonts w:eastAsia="Cambria" w:cstheme="minorHAnsi"/>
          <w:sz w:val="24"/>
          <w:szCs w:val="24"/>
        </w:rPr>
        <w:t xml:space="preserve"> motion capture.</w:t>
      </w:r>
      <w:r w:rsidR="00B2045E">
        <w:rPr>
          <w:rFonts w:ascii="Calibri" w:eastAsia="Cambria" w:hAnsi="Calibri" w:cs="Calibri"/>
          <w:b/>
          <w:bCs/>
          <w:sz w:val="24"/>
          <w:szCs w:val="24"/>
        </w:rPr>
        <w:br/>
      </w:r>
      <w:r w:rsidR="00B2045E">
        <w:rPr>
          <w:rFonts w:ascii="Calibri" w:eastAsia="Cambria" w:hAnsi="Calibri" w:cs="Calibri"/>
          <w:b/>
          <w:bCs/>
          <w:sz w:val="24"/>
          <w:szCs w:val="24"/>
        </w:rPr>
        <w:br/>
      </w:r>
      <w:r w:rsidR="002E233F" w:rsidRPr="002E233F">
        <w:rPr>
          <w:rFonts w:eastAsia="Cambria" w:cstheme="minorHAnsi"/>
          <w:sz w:val="24"/>
          <w:szCs w:val="24"/>
        </w:rPr>
        <w:t xml:space="preserve">“In this study, we evaluated the effectiveness of a </w:t>
      </w:r>
      <w:proofErr w:type="spellStart"/>
      <w:r w:rsidR="002E233F" w:rsidRPr="002E233F">
        <w:rPr>
          <w:rFonts w:eastAsia="Cambria" w:cstheme="minorHAnsi"/>
          <w:sz w:val="24"/>
          <w:szCs w:val="24"/>
        </w:rPr>
        <w:t>markerless</w:t>
      </w:r>
      <w:proofErr w:type="spellEnd"/>
      <w:r w:rsidR="002E233F" w:rsidRPr="002E233F">
        <w:rPr>
          <w:rFonts w:eastAsia="Cambria" w:cstheme="minorHAnsi"/>
          <w:sz w:val="24"/>
          <w:szCs w:val="24"/>
        </w:rPr>
        <w:t xml:space="preserve"> motion capture system and full-body biomechanical movement pattern assessments to predict injury risk among military trainees,” Frazer said.</w:t>
      </w:r>
    </w:p>
    <w:p w14:paraId="0538A4D6" w14:textId="69185039" w:rsidR="00216E3F" w:rsidRDefault="00216E3F" w:rsidP="002E233F">
      <w:pPr>
        <w:spacing w:line="240" w:lineRule="auto"/>
        <w:rPr>
          <w:rFonts w:eastAsia="Cambria" w:cstheme="minorHAnsi"/>
          <w:sz w:val="24"/>
          <w:szCs w:val="24"/>
        </w:rPr>
      </w:pPr>
      <w:r w:rsidRPr="002E233F">
        <w:rPr>
          <w:rFonts w:eastAsia="Cambria" w:cstheme="minorHAnsi"/>
          <w:sz w:val="24"/>
          <w:szCs w:val="24"/>
        </w:rPr>
        <w:t>In collaboration with the U.S. Air Force Special Warfare Human Performance Squadron, SwRI screened more than 150 U.S. Air Force trainees performing multiple functional movements. Then ENABLE analyzed the video data to identify trainees at risk based on their movements.</w:t>
      </w:r>
    </w:p>
    <w:p w14:paraId="5443EEBB" w14:textId="77777777" w:rsidR="00B2045E" w:rsidRDefault="00B2045E" w:rsidP="002E233F">
      <w:pPr>
        <w:spacing w:line="240" w:lineRule="auto"/>
        <w:rPr>
          <w:rFonts w:eastAsia="Cambria" w:cstheme="minorHAnsi"/>
          <w:sz w:val="24"/>
          <w:szCs w:val="24"/>
        </w:rPr>
      </w:pPr>
    </w:p>
    <w:p w14:paraId="768C5113" w14:textId="77777777" w:rsidR="00216E3F" w:rsidRDefault="00B2045E" w:rsidP="00216E3F">
      <w:pPr>
        <w:spacing w:after="0" w:line="240" w:lineRule="auto"/>
        <w:jc w:val="center"/>
        <w:rPr>
          <w:rFonts w:ascii="Calibri" w:hAnsi="Calibri" w:cs="Calibri"/>
          <w:b/>
          <w:sz w:val="24"/>
          <w:szCs w:val="24"/>
        </w:rPr>
      </w:pPr>
      <w:r w:rsidRPr="00D07633">
        <w:rPr>
          <w:rFonts w:ascii="Calibri" w:hAnsi="Calibri" w:cs="Calibri"/>
          <w:b/>
          <w:sz w:val="24"/>
          <w:szCs w:val="24"/>
        </w:rPr>
        <w:t>— more —</w:t>
      </w:r>
    </w:p>
    <w:p w14:paraId="460D997A" w14:textId="77777777" w:rsidR="00057B44" w:rsidRPr="00057B44" w:rsidRDefault="002E233F" w:rsidP="00057B44">
      <w:pPr>
        <w:spacing w:after="0" w:line="240" w:lineRule="auto"/>
        <w:rPr>
          <w:rFonts w:cstheme="minorHAnsi"/>
          <w:b/>
          <w:bCs/>
          <w:color w:val="000000"/>
          <w:sz w:val="24"/>
          <w:szCs w:val="24"/>
          <w:shd w:val="clear" w:color="auto" w:fill="FFFFFF"/>
        </w:rPr>
      </w:pPr>
      <w:r w:rsidRPr="002E233F">
        <w:rPr>
          <w:rFonts w:eastAsia="Cambria" w:cstheme="minorHAnsi"/>
          <w:sz w:val="24"/>
          <w:szCs w:val="24"/>
        </w:rPr>
        <w:lastRenderedPageBreak/>
        <w:t>“We looked at the motion of the entire body, whether we thought it was relevant or not, and used that to come up with a predictive algorithm to determine injury risk,” Frazer said. “We found that it’s necessary to analyze the body’s entire motion in aggregate to develop a better predictive model, which is especially useful when taking measurements in the field.”</w:t>
      </w:r>
      <w:r w:rsidR="00B2045E">
        <w:rPr>
          <w:rFonts w:eastAsia="Cambria" w:cstheme="minorHAnsi"/>
          <w:sz w:val="24"/>
          <w:szCs w:val="24"/>
        </w:rPr>
        <w:br/>
      </w:r>
      <w:r w:rsidR="00B2045E">
        <w:rPr>
          <w:rFonts w:eastAsia="Cambria" w:cstheme="minorHAnsi"/>
          <w:sz w:val="24"/>
          <w:szCs w:val="24"/>
        </w:rPr>
        <w:br/>
      </w:r>
      <w:r w:rsidRPr="002E233F">
        <w:rPr>
          <w:rFonts w:eastAsia="Cambria" w:cstheme="minorHAnsi"/>
          <w:sz w:val="24"/>
          <w:szCs w:val="24"/>
        </w:rPr>
        <w:t>ENABLE’s predictive model correctly predicted 70% of the injuries that occurred among trainees across an eight-week training course while accurately predicting 87% of the noninjuries.</w:t>
      </w:r>
      <w:r w:rsidR="00B2045E">
        <w:rPr>
          <w:rFonts w:eastAsia="Cambria" w:cstheme="minorHAnsi"/>
          <w:sz w:val="24"/>
          <w:szCs w:val="24"/>
        </w:rPr>
        <w:br/>
      </w:r>
      <w:r w:rsidR="00B2045E">
        <w:rPr>
          <w:rFonts w:eastAsia="Cambria" w:cstheme="minorHAnsi"/>
          <w:sz w:val="24"/>
          <w:szCs w:val="24"/>
        </w:rPr>
        <w:br/>
      </w:r>
      <w:r w:rsidRPr="002E233F">
        <w:rPr>
          <w:rFonts w:eastAsia="Cambria" w:cstheme="minorHAnsi"/>
          <w:sz w:val="24"/>
          <w:szCs w:val="24"/>
        </w:rPr>
        <w:t>“We believe this approach offers a novel way to proactively address one of the largest noncombat burdens on the U.S. military,” Frazer said. “Further refinement and wider-scale implementation of these techniques could bring about substantial injury reductions.”</w:t>
      </w:r>
      <w:r w:rsidR="00B2045E">
        <w:rPr>
          <w:rFonts w:eastAsia="Cambria" w:cstheme="minorHAnsi"/>
          <w:sz w:val="24"/>
          <w:szCs w:val="24"/>
        </w:rPr>
        <w:br/>
      </w:r>
      <w:r w:rsidR="00B2045E">
        <w:rPr>
          <w:rFonts w:eastAsia="Cambria" w:cstheme="minorHAnsi"/>
          <w:sz w:val="24"/>
          <w:szCs w:val="24"/>
        </w:rPr>
        <w:br/>
      </w:r>
      <w:r w:rsidRPr="002E233F">
        <w:rPr>
          <w:rFonts w:eastAsia="Cambria" w:cstheme="minorHAnsi"/>
          <w:sz w:val="24"/>
          <w:szCs w:val="24"/>
        </w:rPr>
        <w:t xml:space="preserve">The paper “Identifying special operative trainees at risk for musculoskeletal injury using full-body kinematics” appears in Frontiers in Bioengineering and Biotechnology and can be accessed at </w:t>
      </w:r>
      <w:hyperlink r:id="rId9">
        <w:r w:rsidRPr="002E233F">
          <w:rPr>
            <w:rFonts w:eastAsia="Cambria" w:cstheme="minorHAnsi"/>
            <w:color w:val="1155CC"/>
            <w:sz w:val="24"/>
            <w:szCs w:val="24"/>
            <w:u w:val="single"/>
          </w:rPr>
          <w:t>https://www.frontiersin.org/articles/10.3389/fbioe.2023.1293923/full</w:t>
        </w:r>
      </w:hyperlink>
      <w:r w:rsidRPr="002E233F">
        <w:rPr>
          <w:rFonts w:cstheme="minorHAnsi"/>
          <w:sz w:val="24"/>
          <w:szCs w:val="24"/>
        </w:rPr>
        <w:t xml:space="preserve"> .</w:t>
      </w:r>
      <w:r w:rsidR="00B2045E">
        <w:rPr>
          <w:rFonts w:eastAsia="Cambria" w:cstheme="minorHAnsi"/>
          <w:sz w:val="24"/>
          <w:szCs w:val="24"/>
        </w:rPr>
        <w:br/>
      </w:r>
      <w:r w:rsidR="00B2045E">
        <w:rPr>
          <w:rFonts w:eastAsia="Cambria" w:cstheme="minorHAnsi"/>
          <w:sz w:val="24"/>
          <w:szCs w:val="24"/>
        </w:rPr>
        <w:br/>
      </w:r>
      <w:r w:rsidRPr="002E233F">
        <w:rPr>
          <w:rFonts w:eastAsia="Cambria" w:cstheme="minorHAnsi"/>
          <w:sz w:val="24"/>
          <w:szCs w:val="24"/>
        </w:rPr>
        <w:t xml:space="preserve">For more information, visit </w:t>
      </w:r>
      <w:hyperlink r:id="rId10">
        <w:r w:rsidRPr="002E233F">
          <w:rPr>
            <w:rFonts w:eastAsia="Cambria" w:cstheme="minorHAnsi"/>
            <w:color w:val="1155CC"/>
            <w:sz w:val="24"/>
            <w:szCs w:val="24"/>
            <w:u w:val="single"/>
          </w:rPr>
          <w:t>https://www.swri.org/industry/biomechanics-human-performance/engine-automatic-biomechanical-evaluation-enable</w:t>
        </w:r>
      </w:hyperlink>
      <w:r w:rsidRPr="002E233F">
        <w:rPr>
          <w:rFonts w:eastAsia="Cambria" w:cstheme="minorHAnsi"/>
          <w:sz w:val="24"/>
          <w:szCs w:val="24"/>
        </w:rPr>
        <w:t>.</w:t>
      </w:r>
      <w:r w:rsidR="00B2045E">
        <w:rPr>
          <w:rFonts w:eastAsia="Cambria" w:cstheme="minorHAnsi"/>
          <w:sz w:val="24"/>
          <w:szCs w:val="24"/>
        </w:rPr>
        <w:br/>
      </w:r>
      <w:r w:rsidR="00B2045E">
        <w:rPr>
          <w:rFonts w:eastAsia="Cambria" w:cstheme="minorHAnsi"/>
          <w:sz w:val="24"/>
          <w:szCs w:val="24"/>
        </w:rPr>
        <w:br/>
      </w:r>
      <w:bookmarkStart w:id="0" w:name="_Hlk187932969"/>
      <w:r w:rsidR="00057B44" w:rsidRPr="00057B44">
        <w:rPr>
          <w:rFonts w:cstheme="minorHAnsi"/>
          <w:b/>
          <w:bCs/>
          <w:color w:val="000000"/>
          <w:sz w:val="24"/>
          <w:szCs w:val="24"/>
          <w:shd w:val="clear" w:color="auto" w:fill="FFFFFF"/>
        </w:rPr>
        <w:t>About SwRI:</w:t>
      </w:r>
    </w:p>
    <w:p w14:paraId="12C5C0D4" w14:textId="77777777" w:rsidR="00057B44" w:rsidRPr="00057B44" w:rsidRDefault="00057B44" w:rsidP="00057B44">
      <w:pPr>
        <w:spacing w:after="0" w:line="240" w:lineRule="auto"/>
        <w:rPr>
          <w:rFonts w:cstheme="minorHAnsi"/>
          <w:color w:val="000000"/>
          <w:sz w:val="24"/>
          <w:szCs w:val="24"/>
          <w:shd w:val="clear" w:color="auto" w:fill="FFFFFF"/>
        </w:rPr>
      </w:pPr>
      <w:r w:rsidRPr="00057B44">
        <w:rPr>
          <w:rFonts w:cstheme="minorHAnsi"/>
          <w:color w:val="000000"/>
          <w:sz w:val="24"/>
          <w:szCs w:val="24"/>
          <w:shd w:val="clear" w:color="auto" w:fill="FFFFFF"/>
        </w:rPr>
        <w:t xml:space="preserve">SwRI is an independent, nonprofit, applied research and development organization based in San Antonio, Texas, with more than 3,200 employees and an annual research volume of $915 million. Southwest Research Institute and SwRI are registered marks in the U.S. Patent and Trademark Office. For more information, please visit </w:t>
      </w:r>
      <w:hyperlink r:id="rId11" w:history="1">
        <w:r w:rsidRPr="00057B44">
          <w:rPr>
            <w:rStyle w:val="Hyperlink"/>
            <w:rFonts w:cstheme="minorHAnsi"/>
            <w:sz w:val="24"/>
            <w:szCs w:val="24"/>
            <w:shd w:val="clear" w:color="auto" w:fill="FFFFFF"/>
          </w:rPr>
          <w:t>www.swri.org</w:t>
        </w:r>
      </w:hyperlink>
      <w:r w:rsidRPr="00057B44">
        <w:rPr>
          <w:rFonts w:cstheme="minorHAnsi"/>
          <w:color w:val="000000"/>
          <w:sz w:val="24"/>
          <w:szCs w:val="24"/>
          <w:shd w:val="clear" w:color="auto" w:fill="FFFFFF"/>
        </w:rPr>
        <w:t>.</w:t>
      </w:r>
      <w:bookmarkEnd w:id="0"/>
    </w:p>
    <w:p w14:paraId="75389EA4" w14:textId="478340E2" w:rsidR="00216E3F" w:rsidRDefault="00216E3F" w:rsidP="00057B44">
      <w:pPr>
        <w:spacing w:after="0" w:line="240" w:lineRule="auto"/>
        <w:rPr>
          <w:rFonts w:cstheme="minorHAnsi"/>
          <w:color w:val="000000"/>
          <w:sz w:val="24"/>
          <w:szCs w:val="24"/>
          <w:shd w:val="clear" w:color="auto" w:fill="FFFFFF"/>
        </w:rPr>
      </w:pPr>
    </w:p>
    <w:p w14:paraId="611EB84D" w14:textId="77777777" w:rsidR="00216E3F" w:rsidRDefault="00216E3F" w:rsidP="00B2045E">
      <w:pPr>
        <w:pStyle w:val="bodya"/>
        <w:spacing w:before="0" w:beforeAutospacing="0" w:after="0" w:afterAutospacing="0"/>
        <w:rPr>
          <w:rFonts w:asciiTheme="minorHAnsi" w:hAnsiTheme="minorHAnsi" w:cstheme="minorHAnsi"/>
          <w:color w:val="000000"/>
          <w:sz w:val="24"/>
          <w:szCs w:val="24"/>
          <w:shd w:val="clear" w:color="auto" w:fill="FFFFFF"/>
        </w:rPr>
      </w:pPr>
    </w:p>
    <w:p w14:paraId="72A0BC1C" w14:textId="77777777" w:rsidR="00216E3F" w:rsidRDefault="00216E3F" w:rsidP="00B2045E">
      <w:pPr>
        <w:pStyle w:val="bodya"/>
        <w:spacing w:before="0" w:beforeAutospacing="0" w:after="0" w:afterAutospacing="0"/>
        <w:rPr>
          <w:rFonts w:asciiTheme="minorHAnsi" w:hAnsiTheme="minorHAnsi" w:cstheme="minorHAnsi"/>
          <w:color w:val="000000"/>
          <w:sz w:val="24"/>
          <w:szCs w:val="24"/>
          <w:shd w:val="clear" w:color="auto" w:fill="FFFFFF"/>
        </w:rPr>
      </w:pPr>
    </w:p>
    <w:p w14:paraId="6C8C7D35" w14:textId="64AC404E" w:rsidR="00216E3F" w:rsidRDefault="00216E3F" w:rsidP="00B2045E">
      <w:pPr>
        <w:pStyle w:val="bodya"/>
        <w:spacing w:before="0" w:beforeAutospacing="0" w:after="0" w:afterAutospacing="0"/>
        <w:rPr>
          <w:rFonts w:asciiTheme="minorHAnsi" w:hAnsiTheme="minorHAnsi" w:cstheme="minorHAnsi"/>
          <w:sz w:val="24"/>
          <w:szCs w:val="24"/>
        </w:rPr>
      </w:pPr>
      <w:r w:rsidRPr="001209C0">
        <w:rPr>
          <w:rFonts w:ascii="Palatino Linotype" w:eastAsia="Cambria" w:hAnsi="Palatino Linotype" w:cs="Cambria"/>
          <w:noProof/>
          <w:sz w:val="24"/>
          <w:szCs w:val="24"/>
        </w:rPr>
        <w:drawing>
          <wp:inline distT="114300" distB="114300" distL="114300" distR="114300" wp14:anchorId="3F2BD976" wp14:editId="3BF257D0">
            <wp:extent cx="5943600" cy="1371600"/>
            <wp:effectExtent l="0" t="0" r="0" b="0"/>
            <wp:docPr id="1" name="image1.jpg"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A picture containing graphical user interface&#10;&#10;Description automatically generated"/>
                    <pic:cNvPicPr preferRelativeResize="0"/>
                  </pic:nvPicPr>
                  <pic:blipFill>
                    <a:blip r:embed="rId12"/>
                    <a:srcRect/>
                    <a:stretch>
                      <a:fillRect/>
                    </a:stretch>
                  </pic:blipFill>
                  <pic:spPr>
                    <a:xfrm>
                      <a:off x="0" y="0"/>
                      <a:ext cx="5943600" cy="1371600"/>
                    </a:xfrm>
                    <a:prstGeom prst="rect">
                      <a:avLst/>
                    </a:prstGeom>
                    <a:ln/>
                  </pic:spPr>
                </pic:pic>
              </a:graphicData>
            </a:graphic>
          </wp:inline>
        </w:drawing>
      </w:r>
    </w:p>
    <w:p w14:paraId="3FFC2A51" w14:textId="77777777" w:rsidR="00216E3F" w:rsidRDefault="00216E3F" w:rsidP="00216E3F">
      <w:pPr>
        <w:spacing w:line="240" w:lineRule="auto"/>
        <w:rPr>
          <w:rFonts w:ascii="Calibri" w:eastAsia="Cambria" w:hAnsi="Calibri" w:cs="Calibri"/>
          <w:sz w:val="24"/>
          <w:szCs w:val="24"/>
        </w:rPr>
      </w:pPr>
      <w:bookmarkStart w:id="1" w:name="_Hlk189663676"/>
      <w:r>
        <w:rPr>
          <w:rFonts w:ascii="Calibri" w:eastAsia="Cambria" w:hAnsi="Calibri" w:cs="Calibri"/>
          <w:sz w:val="24"/>
          <w:szCs w:val="24"/>
        </w:rPr>
        <w:t>Courtesy of Southwest Research Institute</w:t>
      </w:r>
      <w:r>
        <w:rPr>
          <w:rFonts w:ascii="Calibri" w:eastAsia="Cambria" w:hAnsi="Calibri" w:cs="Calibri"/>
          <w:sz w:val="24"/>
          <w:szCs w:val="24"/>
        </w:rPr>
        <w:br/>
      </w:r>
      <w:r>
        <w:rPr>
          <w:rFonts w:ascii="Calibri" w:eastAsia="Cambria" w:hAnsi="Calibri" w:cs="Calibri"/>
          <w:sz w:val="24"/>
          <w:szCs w:val="24"/>
        </w:rPr>
        <w:br/>
      </w:r>
      <w:r w:rsidRPr="00216E3F">
        <w:rPr>
          <w:rFonts w:ascii="Calibri" w:eastAsia="Cambria" w:hAnsi="Calibri" w:cs="Calibri"/>
          <w:sz w:val="24"/>
          <w:szCs w:val="24"/>
        </w:rPr>
        <w:t xml:space="preserve">Southwest Research Institute (SwRI) is using the Engine for Automatic Biomechanical Evaluation (ENABLE™) analysis tool to identify musculoskeletal injury (MSKI) risks in military service members during specialized training. In this image, the motions of the red figures are at high risk of injury, while the green figures are at low risk. </w:t>
      </w:r>
      <w:bookmarkEnd w:id="1"/>
    </w:p>
    <w:p w14:paraId="4CF165C9" w14:textId="164DC145" w:rsidR="00483997" w:rsidRPr="00145D14" w:rsidRDefault="00483997" w:rsidP="00216E3F">
      <w:pPr>
        <w:spacing w:line="240" w:lineRule="auto"/>
        <w:jc w:val="center"/>
        <w:rPr>
          <w:rFonts w:cstheme="minorHAnsi"/>
          <w:sz w:val="24"/>
          <w:szCs w:val="24"/>
        </w:rPr>
      </w:pPr>
      <w:r w:rsidRPr="00145D14">
        <w:rPr>
          <w:rFonts w:cstheme="minorHAnsi"/>
          <w:b/>
          <w:bCs/>
          <w:sz w:val="24"/>
          <w:szCs w:val="24"/>
          <w:lang w:bidi="en-US"/>
        </w:rPr>
        <w:t>— SwRI —</w:t>
      </w:r>
    </w:p>
    <w:sectPr w:rsidR="00483997" w:rsidRPr="00145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E6E57"/>
    <w:multiLevelType w:val="hybridMultilevel"/>
    <w:tmpl w:val="1E9A7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F1153E"/>
    <w:multiLevelType w:val="hybridMultilevel"/>
    <w:tmpl w:val="028291F0"/>
    <w:lvl w:ilvl="0" w:tplc="A6A205F0">
      <w:start w:val="1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6105B8"/>
    <w:multiLevelType w:val="hybridMultilevel"/>
    <w:tmpl w:val="092AC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A6790F"/>
    <w:multiLevelType w:val="hybridMultilevel"/>
    <w:tmpl w:val="2A464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583764">
    <w:abstractNumId w:val="2"/>
  </w:num>
  <w:num w:numId="2" w16cid:durableId="1459182346">
    <w:abstractNumId w:val="0"/>
  </w:num>
  <w:num w:numId="3" w16cid:durableId="1556165572">
    <w:abstractNumId w:val="3"/>
  </w:num>
  <w:num w:numId="4" w16cid:durableId="1426540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28E"/>
    <w:rsid w:val="00001A19"/>
    <w:rsid w:val="00003E5A"/>
    <w:rsid w:val="00051A6F"/>
    <w:rsid w:val="00053207"/>
    <w:rsid w:val="0005517E"/>
    <w:rsid w:val="00057B44"/>
    <w:rsid w:val="000639BB"/>
    <w:rsid w:val="00070C4E"/>
    <w:rsid w:val="00070FFC"/>
    <w:rsid w:val="000959DF"/>
    <w:rsid w:val="000C7251"/>
    <w:rsid w:val="00106F0C"/>
    <w:rsid w:val="00110AE0"/>
    <w:rsid w:val="0012259A"/>
    <w:rsid w:val="00137B31"/>
    <w:rsid w:val="00145D14"/>
    <w:rsid w:val="00164BA9"/>
    <w:rsid w:val="00174142"/>
    <w:rsid w:val="00174E12"/>
    <w:rsid w:val="00181FF8"/>
    <w:rsid w:val="00195867"/>
    <w:rsid w:val="001A43AB"/>
    <w:rsid w:val="001A448F"/>
    <w:rsid w:val="001B71B7"/>
    <w:rsid w:val="001C5F53"/>
    <w:rsid w:val="001D255A"/>
    <w:rsid w:val="001E7A2D"/>
    <w:rsid w:val="001E7BE5"/>
    <w:rsid w:val="002041CA"/>
    <w:rsid w:val="002121C0"/>
    <w:rsid w:val="00213915"/>
    <w:rsid w:val="00216E3F"/>
    <w:rsid w:val="00217EF7"/>
    <w:rsid w:val="00222A19"/>
    <w:rsid w:val="002734CE"/>
    <w:rsid w:val="002B467E"/>
    <w:rsid w:val="002C173D"/>
    <w:rsid w:val="002C31B9"/>
    <w:rsid w:val="002C6230"/>
    <w:rsid w:val="002C7275"/>
    <w:rsid w:val="002E233F"/>
    <w:rsid w:val="002E31ED"/>
    <w:rsid w:val="002E5694"/>
    <w:rsid w:val="002E5A27"/>
    <w:rsid w:val="002E5A75"/>
    <w:rsid w:val="003039C1"/>
    <w:rsid w:val="0031254F"/>
    <w:rsid w:val="00326544"/>
    <w:rsid w:val="00330536"/>
    <w:rsid w:val="00333040"/>
    <w:rsid w:val="0034062F"/>
    <w:rsid w:val="003663BB"/>
    <w:rsid w:val="003711FC"/>
    <w:rsid w:val="0037233E"/>
    <w:rsid w:val="00386E40"/>
    <w:rsid w:val="00395B50"/>
    <w:rsid w:val="003A5E10"/>
    <w:rsid w:val="003B0728"/>
    <w:rsid w:val="003D1FAB"/>
    <w:rsid w:val="003E3BE1"/>
    <w:rsid w:val="00400C60"/>
    <w:rsid w:val="004274B9"/>
    <w:rsid w:val="0043381F"/>
    <w:rsid w:val="0044012A"/>
    <w:rsid w:val="00443C27"/>
    <w:rsid w:val="00444BB5"/>
    <w:rsid w:val="00453C8C"/>
    <w:rsid w:val="004545CB"/>
    <w:rsid w:val="0046741B"/>
    <w:rsid w:val="00472580"/>
    <w:rsid w:val="00474DB7"/>
    <w:rsid w:val="00477BB7"/>
    <w:rsid w:val="00482716"/>
    <w:rsid w:val="00483997"/>
    <w:rsid w:val="0049435A"/>
    <w:rsid w:val="0049482B"/>
    <w:rsid w:val="00496EE8"/>
    <w:rsid w:val="004A5762"/>
    <w:rsid w:val="004B0AA6"/>
    <w:rsid w:val="004C1557"/>
    <w:rsid w:val="004C6E88"/>
    <w:rsid w:val="004D3E51"/>
    <w:rsid w:val="004D5017"/>
    <w:rsid w:val="004E5426"/>
    <w:rsid w:val="004F0FB9"/>
    <w:rsid w:val="005049E0"/>
    <w:rsid w:val="005131E1"/>
    <w:rsid w:val="005169F1"/>
    <w:rsid w:val="00524FB4"/>
    <w:rsid w:val="005300B0"/>
    <w:rsid w:val="0053256A"/>
    <w:rsid w:val="005330CF"/>
    <w:rsid w:val="005449D8"/>
    <w:rsid w:val="005501F1"/>
    <w:rsid w:val="0056433C"/>
    <w:rsid w:val="005B2495"/>
    <w:rsid w:val="005B2FD4"/>
    <w:rsid w:val="005B6A8F"/>
    <w:rsid w:val="005C7080"/>
    <w:rsid w:val="005E26BD"/>
    <w:rsid w:val="005E617A"/>
    <w:rsid w:val="005F1287"/>
    <w:rsid w:val="005F4AC7"/>
    <w:rsid w:val="0063796A"/>
    <w:rsid w:val="00661774"/>
    <w:rsid w:val="00671A4F"/>
    <w:rsid w:val="00672C6C"/>
    <w:rsid w:val="0069006F"/>
    <w:rsid w:val="006972CA"/>
    <w:rsid w:val="006A26B8"/>
    <w:rsid w:val="006A6269"/>
    <w:rsid w:val="006B1CB8"/>
    <w:rsid w:val="006C014C"/>
    <w:rsid w:val="006C5DAC"/>
    <w:rsid w:val="006D7AC7"/>
    <w:rsid w:val="006E3EDA"/>
    <w:rsid w:val="006E5C96"/>
    <w:rsid w:val="006F2C5A"/>
    <w:rsid w:val="006F306C"/>
    <w:rsid w:val="007121B8"/>
    <w:rsid w:val="00734B01"/>
    <w:rsid w:val="00737A72"/>
    <w:rsid w:val="00746ADB"/>
    <w:rsid w:val="00754946"/>
    <w:rsid w:val="007559E9"/>
    <w:rsid w:val="0076517A"/>
    <w:rsid w:val="0077257A"/>
    <w:rsid w:val="0079628E"/>
    <w:rsid w:val="007C6D3F"/>
    <w:rsid w:val="007E4411"/>
    <w:rsid w:val="007F6F8D"/>
    <w:rsid w:val="008425A2"/>
    <w:rsid w:val="00845618"/>
    <w:rsid w:val="00846F67"/>
    <w:rsid w:val="0084796B"/>
    <w:rsid w:val="00866FFC"/>
    <w:rsid w:val="00873A41"/>
    <w:rsid w:val="00874D0B"/>
    <w:rsid w:val="00877E6C"/>
    <w:rsid w:val="008932EF"/>
    <w:rsid w:val="0089405F"/>
    <w:rsid w:val="008B1B91"/>
    <w:rsid w:val="008B46CE"/>
    <w:rsid w:val="008C44A7"/>
    <w:rsid w:val="008E5A63"/>
    <w:rsid w:val="00901EE9"/>
    <w:rsid w:val="00904185"/>
    <w:rsid w:val="00910F7D"/>
    <w:rsid w:val="00916005"/>
    <w:rsid w:val="00921647"/>
    <w:rsid w:val="00922C89"/>
    <w:rsid w:val="009248E1"/>
    <w:rsid w:val="00954EE6"/>
    <w:rsid w:val="00957F78"/>
    <w:rsid w:val="009642E0"/>
    <w:rsid w:val="009854C8"/>
    <w:rsid w:val="0099691C"/>
    <w:rsid w:val="009A1D5D"/>
    <w:rsid w:val="009B3064"/>
    <w:rsid w:val="009B306D"/>
    <w:rsid w:val="009B7B3F"/>
    <w:rsid w:val="009C17DF"/>
    <w:rsid w:val="00A00CEF"/>
    <w:rsid w:val="00A544BB"/>
    <w:rsid w:val="00A63D90"/>
    <w:rsid w:val="00A65195"/>
    <w:rsid w:val="00A827FF"/>
    <w:rsid w:val="00A836B7"/>
    <w:rsid w:val="00A958D1"/>
    <w:rsid w:val="00AB249F"/>
    <w:rsid w:val="00AB38F7"/>
    <w:rsid w:val="00AE2942"/>
    <w:rsid w:val="00B06D7C"/>
    <w:rsid w:val="00B2045E"/>
    <w:rsid w:val="00B4288A"/>
    <w:rsid w:val="00B44789"/>
    <w:rsid w:val="00B47BDB"/>
    <w:rsid w:val="00B515D5"/>
    <w:rsid w:val="00B53881"/>
    <w:rsid w:val="00B5390D"/>
    <w:rsid w:val="00B75C2B"/>
    <w:rsid w:val="00B85D47"/>
    <w:rsid w:val="00B901EF"/>
    <w:rsid w:val="00B93162"/>
    <w:rsid w:val="00BA5FDE"/>
    <w:rsid w:val="00BB5178"/>
    <w:rsid w:val="00BC0C5F"/>
    <w:rsid w:val="00BD7B1D"/>
    <w:rsid w:val="00BF6CF2"/>
    <w:rsid w:val="00C539AC"/>
    <w:rsid w:val="00C53FCE"/>
    <w:rsid w:val="00C54996"/>
    <w:rsid w:val="00C6196C"/>
    <w:rsid w:val="00C659CB"/>
    <w:rsid w:val="00C6687E"/>
    <w:rsid w:val="00C7701B"/>
    <w:rsid w:val="00CA06E1"/>
    <w:rsid w:val="00CA134C"/>
    <w:rsid w:val="00CB5B86"/>
    <w:rsid w:val="00CB78F8"/>
    <w:rsid w:val="00CD17BA"/>
    <w:rsid w:val="00D172DD"/>
    <w:rsid w:val="00D3218C"/>
    <w:rsid w:val="00D337E3"/>
    <w:rsid w:val="00D50CD5"/>
    <w:rsid w:val="00D56DA9"/>
    <w:rsid w:val="00D64D31"/>
    <w:rsid w:val="00D73C70"/>
    <w:rsid w:val="00D75CEB"/>
    <w:rsid w:val="00D92486"/>
    <w:rsid w:val="00D9261A"/>
    <w:rsid w:val="00DA1EC3"/>
    <w:rsid w:val="00DC4A34"/>
    <w:rsid w:val="00DD20CD"/>
    <w:rsid w:val="00DD3A2F"/>
    <w:rsid w:val="00DF27B4"/>
    <w:rsid w:val="00E035D0"/>
    <w:rsid w:val="00E23A70"/>
    <w:rsid w:val="00E45EAE"/>
    <w:rsid w:val="00E52306"/>
    <w:rsid w:val="00E53F18"/>
    <w:rsid w:val="00E5778C"/>
    <w:rsid w:val="00E60BAE"/>
    <w:rsid w:val="00E666D9"/>
    <w:rsid w:val="00E8563C"/>
    <w:rsid w:val="00E86820"/>
    <w:rsid w:val="00E94558"/>
    <w:rsid w:val="00EA1418"/>
    <w:rsid w:val="00EB1188"/>
    <w:rsid w:val="00EB7312"/>
    <w:rsid w:val="00EC1548"/>
    <w:rsid w:val="00EC5535"/>
    <w:rsid w:val="00EC60E5"/>
    <w:rsid w:val="00EF7D3B"/>
    <w:rsid w:val="00F10692"/>
    <w:rsid w:val="00F20286"/>
    <w:rsid w:val="00F231D7"/>
    <w:rsid w:val="00F45568"/>
    <w:rsid w:val="00F50429"/>
    <w:rsid w:val="00F61A13"/>
    <w:rsid w:val="00F71A1C"/>
    <w:rsid w:val="00F74819"/>
    <w:rsid w:val="00F762B6"/>
    <w:rsid w:val="00FB008E"/>
    <w:rsid w:val="00FB7A1D"/>
    <w:rsid w:val="00FD2A64"/>
    <w:rsid w:val="00FF17AA"/>
    <w:rsid w:val="00FF4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4BF4F"/>
  <w15:docId w15:val="{F036661E-7CA4-4BAF-9E1D-2E38F3981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287"/>
  </w:style>
  <w:style w:type="paragraph" w:styleId="Heading1">
    <w:name w:val="heading 1"/>
    <w:basedOn w:val="Normal"/>
    <w:link w:val="Heading1Char"/>
    <w:uiPriority w:val="9"/>
    <w:qFormat/>
    <w:rsid w:val="00C539AC"/>
    <w:pPr>
      <w:widowControl w:val="0"/>
      <w:autoSpaceDE w:val="0"/>
      <w:autoSpaceDN w:val="0"/>
      <w:spacing w:after="0" w:line="240" w:lineRule="auto"/>
      <w:ind w:left="160"/>
      <w:outlineLvl w:val="0"/>
    </w:pPr>
    <w:rPr>
      <w:rFonts w:ascii="Calibri" w:eastAsia="Calibri" w:hAnsi="Calibri" w:cs="Calibri"/>
      <w:b/>
      <w:bCs/>
      <w:sz w:val="26"/>
      <w:szCs w:val="26"/>
      <w:lang w:bidi="en-US"/>
    </w:rPr>
  </w:style>
  <w:style w:type="paragraph" w:styleId="Heading2">
    <w:name w:val="heading 2"/>
    <w:basedOn w:val="Normal"/>
    <w:next w:val="Normal"/>
    <w:link w:val="Heading2Char"/>
    <w:uiPriority w:val="9"/>
    <w:semiHidden/>
    <w:unhideWhenUsed/>
    <w:qFormat/>
    <w:rsid w:val="0056433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28E"/>
    <w:pPr>
      <w:ind w:left="720"/>
      <w:contextualSpacing/>
    </w:pPr>
  </w:style>
  <w:style w:type="character" w:styleId="Hyperlink">
    <w:name w:val="Hyperlink"/>
    <w:basedOn w:val="DefaultParagraphFont"/>
    <w:uiPriority w:val="99"/>
    <w:unhideWhenUsed/>
    <w:rsid w:val="0079628E"/>
    <w:rPr>
      <w:color w:val="0000FF" w:themeColor="hyperlink"/>
      <w:u w:val="single"/>
    </w:rPr>
  </w:style>
  <w:style w:type="paragraph" w:styleId="BalloonText">
    <w:name w:val="Balloon Text"/>
    <w:basedOn w:val="Normal"/>
    <w:link w:val="BalloonTextChar"/>
    <w:uiPriority w:val="99"/>
    <w:semiHidden/>
    <w:unhideWhenUsed/>
    <w:rsid w:val="006F306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F306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001A19"/>
    <w:rPr>
      <w:sz w:val="16"/>
      <w:szCs w:val="16"/>
    </w:rPr>
  </w:style>
  <w:style w:type="paragraph" w:styleId="CommentText">
    <w:name w:val="annotation text"/>
    <w:basedOn w:val="Normal"/>
    <w:link w:val="CommentTextChar"/>
    <w:uiPriority w:val="99"/>
    <w:semiHidden/>
    <w:unhideWhenUsed/>
    <w:rsid w:val="00001A19"/>
    <w:pPr>
      <w:spacing w:line="240" w:lineRule="auto"/>
    </w:pPr>
    <w:rPr>
      <w:sz w:val="20"/>
      <w:szCs w:val="20"/>
    </w:rPr>
  </w:style>
  <w:style w:type="character" w:customStyle="1" w:styleId="CommentTextChar">
    <w:name w:val="Comment Text Char"/>
    <w:basedOn w:val="DefaultParagraphFont"/>
    <w:link w:val="CommentText"/>
    <w:uiPriority w:val="99"/>
    <w:semiHidden/>
    <w:rsid w:val="00001A19"/>
    <w:rPr>
      <w:sz w:val="20"/>
      <w:szCs w:val="20"/>
    </w:rPr>
  </w:style>
  <w:style w:type="paragraph" w:styleId="CommentSubject">
    <w:name w:val="annotation subject"/>
    <w:basedOn w:val="CommentText"/>
    <w:next w:val="CommentText"/>
    <w:link w:val="CommentSubjectChar"/>
    <w:uiPriority w:val="99"/>
    <w:semiHidden/>
    <w:unhideWhenUsed/>
    <w:rsid w:val="00001A19"/>
    <w:rPr>
      <w:b/>
      <w:bCs/>
    </w:rPr>
  </w:style>
  <w:style w:type="character" w:customStyle="1" w:styleId="CommentSubjectChar">
    <w:name w:val="Comment Subject Char"/>
    <w:basedOn w:val="CommentTextChar"/>
    <w:link w:val="CommentSubject"/>
    <w:uiPriority w:val="99"/>
    <w:semiHidden/>
    <w:rsid w:val="00001A19"/>
    <w:rPr>
      <w:b/>
      <w:bCs/>
      <w:sz w:val="20"/>
      <w:szCs w:val="20"/>
    </w:rPr>
  </w:style>
  <w:style w:type="character" w:styleId="FollowedHyperlink">
    <w:name w:val="FollowedHyperlink"/>
    <w:basedOn w:val="DefaultParagraphFont"/>
    <w:uiPriority w:val="99"/>
    <w:semiHidden/>
    <w:unhideWhenUsed/>
    <w:rsid w:val="00164BA9"/>
    <w:rPr>
      <w:color w:val="800080" w:themeColor="followedHyperlink"/>
      <w:u w:val="single"/>
    </w:rPr>
  </w:style>
  <w:style w:type="character" w:styleId="UnresolvedMention">
    <w:name w:val="Unresolved Mention"/>
    <w:basedOn w:val="DefaultParagraphFont"/>
    <w:uiPriority w:val="99"/>
    <w:semiHidden/>
    <w:unhideWhenUsed/>
    <w:rsid w:val="00C53FCE"/>
    <w:rPr>
      <w:color w:val="605E5C"/>
      <w:shd w:val="clear" w:color="auto" w:fill="E1DFDD"/>
    </w:rPr>
  </w:style>
  <w:style w:type="character" w:styleId="Strong">
    <w:name w:val="Strong"/>
    <w:basedOn w:val="DefaultParagraphFont"/>
    <w:uiPriority w:val="22"/>
    <w:qFormat/>
    <w:rsid w:val="00F762B6"/>
    <w:rPr>
      <w:b/>
      <w:bCs/>
    </w:rPr>
  </w:style>
  <w:style w:type="character" w:customStyle="1" w:styleId="Heading1Char">
    <w:name w:val="Heading 1 Char"/>
    <w:basedOn w:val="DefaultParagraphFont"/>
    <w:link w:val="Heading1"/>
    <w:uiPriority w:val="9"/>
    <w:rsid w:val="00C539AC"/>
    <w:rPr>
      <w:rFonts w:ascii="Calibri" w:eastAsia="Calibri" w:hAnsi="Calibri" w:cs="Calibri"/>
      <w:b/>
      <w:bCs/>
      <w:sz w:val="26"/>
      <w:szCs w:val="26"/>
      <w:lang w:bidi="en-US"/>
    </w:rPr>
  </w:style>
  <w:style w:type="character" w:customStyle="1" w:styleId="Heading2Char">
    <w:name w:val="Heading 2 Char"/>
    <w:basedOn w:val="DefaultParagraphFont"/>
    <w:link w:val="Heading2"/>
    <w:uiPriority w:val="9"/>
    <w:semiHidden/>
    <w:rsid w:val="0056433C"/>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56433C"/>
    <w:pPr>
      <w:widowControl w:val="0"/>
      <w:autoSpaceDE w:val="0"/>
      <w:autoSpaceDN w:val="0"/>
      <w:spacing w:after="0" w:line="240" w:lineRule="auto"/>
    </w:pPr>
    <w:rPr>
      <w:rFonts w:ascii="Calibri" w:eastAsia="Calibri" w:hAnsi="Calibri" w:cs="Calibri"/>
      <w:sz w:val="24"/>
      <w:szCs w:val="24"/>
      <w:lang w:bidi="en-US"/>
    </w:rPr>
  </w:style>
  <w:style w:type="character" w:customStyle="1" w:styleId="BodyTextChar">
    <w:name w:val="Body Text Char"/>
    <w:basedOn w:val="DefaultParagraphFont"/>
    <w:link w:val="BodyText"/>
    <w:uiPriority w:val="1"/>
    <w:rsid w:val="0056433C"/>
    <w:rPr>
      <w:rFonts w:ascii="Calibri" w:eastAsia="Calibri" w:hAnsi="Calibri" w:cs="Calibri"/>
      <w:sz w:val="24"/>
      <w:szCs w:val="24"/>
      <w:lang w:bidi="en-US"/>
    </w:rPr>
  </w:style>
  <w:style w:type="character" w:customStyle="1" w:styleId="field-items">
    <w:name w:val="field-items"/>
    <w:basedOn w:val="DefaultParagraphFont"/>
    <w:rsid w:val="00483997"/>
  </w:style>
  <w:style w:type="character" w:customStyle="1" w:styleId="field-item">
    <w:name w:val="field-item"/>
    <w:basedOn w:val="DefaultParagraphFont"/>
    <w:rsid w:val="00483997"/>
  </w:style>
  <w:style w:type="paragraph" w:customStyle="1" w:styleId="Body">
    <w:name w:val="Body"/>
    <w:rsid w:val="00B93162"/>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14:textOutline w14:w="0" w14:cap="flat" w14:cmpd="sng" w14:algn="ctr">
        <w14:noFill/>
        <w14:prstDash w14:val="solid"/>
        <w14:bevel/>
      </w14:textOutline>
    </w:rPr>
  </w:style>
  <w:style w:type="character" w:customStyle="1" w:styleId="Hyperlink1">
    <w:name w:val="Hyperlink.1"/>
    <w:qFormat/>
    <w:rsid w:val="00D56DA9"/>
    <w:rPr>
      <w:rFonts w:ascii="Palatino Linotype" w:eastAsia="Palatino Linotype" w:hAnsi="Palatino Linotype" w:cs="Palatino Linotype"/>
      <w:sz w:val="24"/>
      <w:szCs w:val="24"/>
      <w:lang w:val="en-US"/>
    </w:rPr>
  </w:style>
  <w:style w:type="paragraph" w:styleId="NormalWeb">
    <w:name w:val="Normal (Web)"/>
    <w:basedOn w:val="Normal"/>
    <w:uiPriority w:val="99"/>
    <w:unhideWhenUsed/>
    <w:rsid w:val="00D56DA9"/>
    <w:pPr>
      <w:spacing w:before="100" w:beforeAutospacing="1" w:after="100" w:afterAutospacing="1" w:line="240" w:lineRule="auto"/>
    </w:pPr>
    <w:rPr>
      <w:rFonts w:ascii="Calibri" w:hAnsi="Calibri" w:cs="Calibri"/>
      <w:u w:color="000000"/>
    </w:rPr>
  </w:style>
  <w:style w:type="character" w:styleId="Emphasis">
    <w:name w:val="Emphasis"/>
    <w:basedOn w:val="DefaultParagraphFont"/>
    <w:uiPriority w:val="20"/>
    <w:qFormat/>
    <w:rsid w:val="00874D0B"/>
    <w:rPr>
      <w:i/>
      <w:iCs/>
    </w:rPr>
  </w:style>
  <w:style w:type="paragraph" w:customStyle="1" w:styleId="bodya">
    <w:name w:val="bodya"/>
    <w:basedOn w:val="Normal"/>
    <w:rsid w:val="008B46CE"/>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471253">
      <w:bodyDiv w:val="1"/>
      <w:marLeft w:val="0"/>
      <w:marRight w:val="0"/>
      <w:marTop w:val="0"/>
      <w:marBottom w:val="0"/>
      <w:divBdr>
        <w:top w:val="none" w:sz="0" w:space="0" w:color="auto"/>
        <w:left w:val="none" w:sz="0" w:space="0" w:color="auto"/>
        <w:bottom w:val="none" w:sz="0" w:space="0" w:color="auto"/>
        <w:right w:val="none" w:sz="0" w:space="0" w:color="auto"/>
      </w:divBdr>
    </w:div>
    <w:div w:id="331757911">
      <w:bodyDiv w:val="1"/>
      <w:marLeft w:val="0"/>
      <w:marRight w:val="0"/>
      <w:marTop w:val="0"/>
      <w:marBottom w:val="0"/>
      <w:divBdr>
        <w:top w:val="none" w:sz="0" w:space="0" w:color="auto"/>
        <w:left w:val="none" w:sz="0" w:space="0" w:color="auto"/>
        <w:bottom w:val="none" w:sz="0" w:space="0" w:color="auto"/>
        <w:right w:val="none" w:sz="0" w:space="0" w:color="auto"/>
      </w:divBdr>
    </w:div>
    <w:div w:id="765155842">
      <w:bodyDiv w:val="1"/>
      <w:marLeft w:val="0"/>
      <w:marRight w:val="0"/>
      <w:marTop w:val="0"/>
      <w:marBottom w:val="0"/>
      <w:divBdr>
        <w:top w:val="none" w:sz="0" w:space="0" w:color="auto"/>
        <w:left w:val="none" w:sz="0" w:space="0" w:color="auto"/>
        <w:bottom w:val="none" w:sz="0" w:space="0" w:color="auto"/>
        <w:right w:val="none" w:sz="0" w:space="0" w:color="auto"/>
      </w:divBdr>
      <w:divsChild>
        <w:div w:id="1418475568">
          <w:marLeft w:val="-645"/>
          <w:marRight w:val="0"/>
          <w:marTop w:val="0"/>
          <w:marBottom w:val="0"/>
          <w:divBdr>
            <w:top w:val="none" w:sz="0" w:space="0" w:color="auto"/>
            <w:left w:val="none" w:sz="0" w:space="0" w:color="auto"/>
            <w:bottom w:val="none" w:sz="0" w:space="0" w:color="auto"/>
            <w:right w:val="none" w:sz="0" w:space="0" w:color="auto"/>
          </w:divBdr>
        </w:div>
      </w:divsChild>
    </w:div>
    <w:div w:id="1620525955">
      <w:bodyDiv w:val="1"/>
      <w:marLeft w:val="0"/>
      <w:marRight w:val="0"/>
      <w:marTop w:val="0"/>
      <w:marBottom w:val="0"/>
      <w:divBdr>
        <w:top w:val="none" w:sz="0" w:space="0" w:color="auto"/>
        <w:left w:val="none" w:sz="0" w:space="0" w:color="auto"/>
        <w:bottom w:val="none" w:sz="0" w:space="0" w:color="auto"/>
        <w:right w:val="none" w:sz="0" w:space="0" w:color="auto"/>
      </w:divBdr>
    </w:div>
    <w:div w:id="173172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quintanilla@swri.org" TargetMode="External"/><Relationship Id="rId12"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quintanilla@swri.org" TargetMode="External"/><Relationship Id="rId11" Type="http://schemas.openxmlformats.org/officeDocument/2006/relationships/hyperlink" Target="https://www.swri.org?utm_source=CISION&amp;utm_medium=SwRI-Site&amp;utm_campaign=JIP-PR" TargetMode="External"/><Relationship Id="rId5" Type="http://schemas.openxmlformats.org/officeDocument/2006/relationships/webSettings" Target="webSettings.xml"/><Relationship Id="rId10" Type="http://schemas.openxmlformats.org/officeDocument/2006/relationships/hyperlink" Target="https://www.swri.org/industry/biomechanics-human-performance/engine-automatic-biomechanical-evaluation-enable?utm_campaign=enable-update-pr&amp;utm_source=sa-local&amp;utm_medium=referral" TargetMode="External"/><Relationship Id="rId4" Type="http://schemas.openxmlformats.org/officeDocument/2006/relationships/settings" Target="settings.xml"/><Relationship Id="rId9" Type="http://schemas.openxmlformats.org/officeDocument/2006/relationships/hyperlink" Target="https://www.frontiersin.org/articles/10.3389/fbioe.2023.1293923/ful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3678064-1AA5-4B55-8BAC-2056E6A59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3763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Southwest Research Institute</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Crowe Jr, Robert M.</dc:creator>
  <cp:lastModifiedBy>Bowen, Barbara E.</cp:lastModifiedBy>
  <cp:revision>2</cp:revision>
  <cp:lastPrinted>2017-12-08T19:13:00Z</cp:lastPrinted>
  <dcterms:created xsi:type="dcterms:W3CDTF">2025-02-06T15:28:00Z</dcterms:created>
  <dcterms:modified xsi:type="dcterms:W3CDTF">2025-02-06T15:28:00Z</dcterms:modified>
</cp:coreProperties>
</file>